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86" w:rsidRDefault="009961C9" w:rsidP="00B72E8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Scenes from the </w:t>
      </w:r>
      <w:proofErr w:type="spellStart"/>
      <w:r>
        <w:rPr>
          <w:rFonts w:ascii="Tahoma" w:hAnsi="Tahoma" w:cs="Tahoma"/>
        </w:rPr>
        <w:t>Mahele</w:t>
      </w:r>
      <w:proofErr w:type="spellEnd"/>
      <w:r>
        <w:rPr>
          <w:rFonts w:ascii="Tahoma" w:hAnsi="Tahoma" w:cs="Tahoma"/>
        </w:rPr>
        <w:t xml:space="preserve"> Rubric: Specific feedback to help you improve your grade!</w:t>
      </w: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883"/>
        <w:gridCol w:w="2261"/>
        <w:gridCol w:w="2072"/>
        <w:gridCol w:w="2072"/>
        <w:gridCol w:w="2072"/>
      </w:tblGrid>
      <w:tr w:rsidR="00B72E86" w:rsidRPr="00657CD8" w:rsidTr="00321B63">
        <w:trPr>
          <w:trHeight w:val="200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Exceeds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Meets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approaching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Below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1</w:t>
            </w:r>
          </w:p>
        </w:tc>
      </w:tr>
      <w:tr w:rsidR="00B72E86" w:rsidRPr="00657CD8" w:rsidTr="00321B63">
        <w:trPr>
          <w:trHeight w:val="1646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GLO- 4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Produce work that meets or exceeds Hawaii Content and Performance Standards</w:t>
            </w: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*High Quality work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 Quality work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 effort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But is missing some details</w:t>
            </w:r>
          </w:p>
          <w:p w:rsidR="00B72E86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*Looks Rushed or unpolished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 lack of effort/details</w:t>
            </w:r>
          </w:p>
          <w:p w:rsidR="00B72E86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 xml:space="preserve">drawings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do not </w:t>
            </w:r>
            <w:r w:rsidRPr="005107FF">
              <w:rPr>
                <w:rFonts w:ascii="Candara" w:hAnsi="Candara" w:cs="Tahoma"/>
                <w:sz w:val="18"/>
                <w:szCs w:val="18"/>
              </w:rPr>
              <w:t>take up the entire square/paper</w:t>
            </w:r>
          </w:p>
        </w:tc>
      </w:tr>
      <w:tr w:rsidR="00B72E86" w:rsidRPr="00657CD8" w:rsidTr="00321B63">
        <w:trPr>
          <w:trHeight w:val="1715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Academic 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Content</w:t>
            </w: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*drawings 100%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every scene has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and scene is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* drawings clearly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*every scene has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and scene is labelled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drawings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depicts the scene but is missing details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*1 scene is missing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and scene is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drawings do not 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does not depict the scene and/or is missing many details</w:t>
            </w: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*2 or more scenes are missing captions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Some scenes are not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</w:tr>
    </w:tbl>
    <w:p w:rsidR="00BC608B" w:rsidRDefault="00BC608B"/>
    <w:p w:rsidR="009961C9" w:rsidRDefault="009961C9"/>
    <w:p w:rsidR="00B72E86" w:rsidRDefault="00B72E86">
      <w:bookmarkStart w:id="0" w:name="_GoBack"/>
      <w:bookmarkEnd w:id="0"/>
    </w:p>
    <w:p w:rsidR="009961C9" w:rsidRDefault="009961C9"/>
    <w:p w:rsidR="00B72E86" w:rsidRDefault="00B72E86" w:rsidP="00B72E8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Scenes from the </w:t>
      </w:r>
      <w:proofErr w:type="spellStart"/>
      <w:r>
        <w:rPr>
          <w:rFonts w:ascii="Tahoma" w:hAnsi="Tahoma" w:cs="Tahoma"/>
        </w:rPr>
        <w:t>Mahele</w:t>
      </w:r>
      <w:proofErr w:type="spellEnd"/>
      <w:r>
        <w:rPr>
          <w:rFonts w:ascii="Tahoma" w:hAnsi="Tahoma" w:cs="Tahoma"/>
        </w:rPr>
        <w:t xml:space="preserve"> Rubric: Specific feedback to help you improve your grade!</w:t>
      </w: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883"/>
        <w:gridCol w:w="2261"/>
        <w:gridCol w:w="2072"/>
        <w:gridCol w:w="2072"/>
        <w:gridCol w:w="2072"/>
      </w:tblGrid>
      <w:tr w:rsidR="00B72E86" w:rsidRPr="00657CD8" w:rsidTr="00321B63">
        <w:trPr>
          <w:trHeight w:val="200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Exceeds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Meets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approaching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Below</w:t>
            </w:r>
          </w:p>
          <w:p w:rsidR="00B72E86" w:rsidRPr="005107FF" w:rsidRDefault="00B72E86" w:rsidP="00321B63">
            <w:pPr>
              <w:contextualSpacing/>
              <w:jc w:val="center"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1</w:t>
            </w:r>
          </w:p>
        </w:tc>
      </w:tr>
      <w:tr w:rsidR="00B72E86" w:rsidRPr="00657CD8" w:rsidTr="00321B63">
        <w:trPr>
          <w:trHeight w:val="1646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GLO- 4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Produce work that meets or exceeds Hawaii Content and Performance Standards</w:t>
            </w: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*High Quality work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 Quality work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*Detailed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*Neat/Colorful</w:t>
            </w:r>
          </w:p>
          <w:p w:rsidR="00B72E86" w:rsidRPr="005107FF" w:rsidRDefault="00B72E86" w:rsidP="00321B63">
            <w:pPr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 effort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But is missing some details</w:t>
            </w:r>
          </w:p>
          <w:p w:rsidR="00B72E86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>drawings take up the entire square/paper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*Looks Rushed or unpolished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*Demonstrates lack of effort/details</w:t>
            </w:r>
          </w:p>
          <w:p w:rsidR="00B72E86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*</w:t>
            </w:r>
            <w:r w:rsidRPr="005107FF">
              <w:rPr>
                <w:rFonts w:ascii="Candara" w:hAnsi="Candara" w:cs="Tahoma"/>
                <w:sz w:val="18"/>
                <w:szCs w:val="18"/>
              </w:rPr>
              <w:t xml:space="preserve">drawings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do not </w:t>
            </w:r>
            <w:r w:rsidRPr="005107FF">
              <w:rPr>
                <w:rFonts w:ascii="Candara" w:hAnsi="Candara" w:cs="Tahoma"/>
                <w:sz w:val="18"/>
                <w:szCs w:val="18"/>
              </w:rPr>
              <w:t>take up the entire square/paper</w:t>
            </w:r>
          </w:p>
        </w:tc>
      </w:tr>
      <w:tr w:rsidR="00B72E86" w:rsidRPr="00657CD8" w:rsidTr="00321B63">
        <w:trPr>
          <w:trHeight w:val="1715"/>
        </w:trPr>
        <w:tc>
          <w:tcPr>
            <w:tcW w:w="1883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         </w:t>
            </w: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Academic 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Content</w:t>
            </w:r>
          </w:p>
        </w:tc>
        <w:tc>
          <w:tcPr>
            <w:tcW w:w="2261" w:type="dxa"/>
          </w:tcPr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*drawings 100%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eastAsia="Times New Roman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every scene has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and scene is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* drawings clearly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clearly depicts the scene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*every scene has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and scene is labelled</w:t>
            </w: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drawings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depicts the scene but is missing details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*1 scene is missing a caption</w:t>
            </w:r>
            <w:r>
              <w:rPr>
                <w:rFonts w:ascii="Candara" w:hAnsi="Candara" w:cs="JasmineUPC"/>
                <w:sz w:val="18"/>
                <w:szCs w:val="18"/>
              </w:rPr>
              <w:t xml:space="preserve"> and scene is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  <w:tc>
          <w:tcPr>
            <w:tcW w:w="2072" w:type="dxa"/>
          </w:tcPr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*</w:t>
            </w:r>
            <w:r w:rsidRPr="005107FF">
              <w:rPr>
                <w:rFonts w:ascii="Candara" w:hAnsi="Candara" w:cs="JasmineUPC"/>
                <w:sz w:val="18"/>
                <w:szCs w:val="18"/>
              </w:rPr>
              <w:t xml:space="preserve"> </w:t>
            </w:r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 xml:space="preserve">drawings do not  represent the scenes from the </w:t>
            </w:r>
            <w:proofErr w:type="spellStart"/>
            <w:r w:rsidRPr="005107FF">
              <w:rPr>
                <w:rFonts w:ascii="Candara" w:eastAsia="Times New Roman" w:hAnsi="Candara" w:cs="JasmineUPC"/>
                <w:sz w:val="18"/>
                <w:szCs w:val="18"/>
              </w:rPr>
              <w:t>Mahele</w:t>
            </w:r>
            <w:proofErr w:type="spellEnd"/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 the drawing does not depict the scene and/or is missing many details</w:t>
            </w: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</w:p>
          <w:p w:rsidR="00B72E86" w:rsidRPr="005107FF" w:rsidRDefault="00B72E86" w:rsidP="00321B63">
            <w:pPr>
              <w:rPr>
                <w:rFonts w:ascii="Candara" w:hAnsi="Candara" w:cs="JasmineUPC"/>
                <w:sz w:val="18"/>
                <w:szCs w:val="18"/>
              </w:rPr>
            </w:pPr>
            <w:r w:rsidRPr="005107FF">
              <w:rPr>
                <w:rFonts w:ascii="Candara" w:hAnsi="Candara" w:cs="JasmineUPC"/>
                <w:sz w:val="18"/>
                <w:szCs w:val="18"/>
              </w:rPr>
              <w:t>*2 or more scenes are missing captions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  <w:r>
              <w:rPr>
                <w:rFonts w:ascii="Candara" w:hAnsi="Candara" w:cs="JasmineUPC"/>
                <w:sz w:val="18"/>
                <w:szCs w:val="18"/>
              </w:rPr>
              <w:t>Some scenes are not labelled</w:t>
            </w:r>
          </w:p>
          <w:p w:rsidR="00B72E86" w:rsidRPr="005107FF" w:rsidRDefault="00B72E86" w:rsidP="00321B63">
            <w:pPr>
              <w:contextualSpacing/>
              <w:rPr>
                <w:rFonts w:ascii="Candara" w:hAnsi="Candara" w:cs="JasmineUPC"/>
                <w:sz w:val="18"/>
                <w:szCs w:val="18"/>
              </w:rPr>
            </w:pPr>
          </w:p>
        </w:tc>
      </w:tr>
    </w:tbl>
    <w:p w:rsidR="00B72E86" w:rsidRDefault="00B72E86"/>
    <w:sectPr w:rsidR="00B72E86" w:rsidSect="009961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9"/>
    <w:rsid w:val="009961C9"/>
    <w:rsid w:val="00B72E86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011A8-D80C-4D90-AFFF-1E1AB79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1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2015-12-02T09:46:00Z</dcterms:created>
  <dcterms:modified xsi:type="dcterms:W3CDTF">2015-12-02T09:46:00Z</dcterms:modified>
</cp:coreProperties>
</file>